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7E87" w14:textId="77777777" w:rsidR="001E7131" w:rsidRPr="00A10ABE" w:rsidRDefault="001E7131" w:rsidP="001E7131">
      <w:pPr>
        <w:pStyle w:val="Heading1"/>
        <w:numPr>
          <w:ilvl w:val="0"/>
          <w:numId w:val="3"/>
        </w:numPr>
        <w:spacing w:before="40" w:after="40" w:line="264" w:lineRule="auto"/>
        <w:jc w:val="left"/>
        <w:rPr>
          <w:rFonts w:ascii="Calibri" w:hAnsi="Calibri" w:cs="Calibri"/>
          <w:b w:val="0"/>
          <w:bCs w:val="0"/>
          <w:sz w:val="20"/>
          <w:szCs w:val="20"/>
          <w:lang w:val="en-US"/>
        </w:rPr>
      </w:pPr>
      <w:bookmarkStart w:id="0" w:name="_Toc524357516"/>
      <w:r w:rsidRPr="00A10ABE">
        <w:rPr>
          <w:rFonts w:ascii="Calibri" w:hAnsi="Calibri" w:cs="Calibri"/>
          <w:sz w:val="20"/>
          <w:szCs w:val="20"/>
          <w:lang w:val="en-US"/>
        </w:rPr>
        <w:t>Terms of Reference (TOR) of Nutrition Expert</w:t>
      </w:r>
      <w:bookmarkEnd w:id="0"/>
    </w:p>
    <w:p w14:paraId="2085DC3C" w14:textId="77777777" w:rsidR="001E7131" w:rsidRPr="00A10ABE" w:rsidRDefault="001E7131" w:rsidP="001E7131">
      <w:pPr>
        <w:spacing w:before="40" w:after="40"/>
        <w:rPr>
          <w:rFonts w:ascii="Calibri" w:hAnsi="Calibri" w:cs="Calibri"/>
          <w:b/>
          <w:sz w:val="20"/>
          <w:szCs w:val="20"/>
        </w:rPr>
      </w:pPr>
    </w:p>
    <w:p w14:paraId="4A5E9F72" w14:textId="77777777" w:rsidR="001E7131" w:rsidRPr="00A10ABE" w:rsidRDefault="001E7131" w:rsidP="001E7131">
      <w:pPr>
        <w:spacing w:before="40" w:after="40"/>
        <w:rPr>
          <w:rFonts w:ascii="Calibri" w:hAnsi="Calibri" w:cs="Calibri"/>
          <w:b/>
          <w:bCs/>
          <w:sz w:val="20"/>
          <w:szCs w:val="20"/>
        </w:rPr>
      </w:pPr>
      <w:r w:rsidRPr="00A10ABE">
        <w:rPr>
          <w:rFonts w:ascii="Calibri" w:hAnsi="Calibri" w:cs="Calibri"/>
          <w:b/>
          <w:sz w:val="20"/>
          <w:szCs w:val="20"/>
        </w:rPr>
        <w:t xml:space="preserve">Position: </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
          <w:bCs/>
          <w:sz w:val="20"/>
          <w:szCs w:val="20"/>
        </w:rPr>
        <w:t>Nutrition Expert</w:t>
      </w:r>
    </w:p>
    <w:p w14:paraId="2B17B45A" w14:textId="77777777" w:rsidR="001E7131" w:rsidRPr="00A10ABE" w:rsidRDefault="001E7131" w:rsidP="001E7131">
      <w:pPr>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Cs/>
          <w:sz w:val="20"/>
          <w:szCs w:val="20"/>
        </w:rPr>
        <w:t>L-1 (Senior Officer)</w:t>
      </w:r>
    </w:p>
    <w:p w14:paraId="476EB5AA" w14:textId="77777777" w:rsidR="001E7131" w:rsidRPr="00A10ABE" w:rsidRDefault="001E7131" w:rsidP="001E7131">
      <w:pPr>
        <w:rPr>
          <w:rFonts w:ascii="Calibri" w:hAnsi="Calibri" w:cs="Calibri"/>
          <w:sz w:val="20"/>
          <w:szCs w:val="20"/>
        </w:rPr>
      </w:pPr>
      <w:r w:rsidRPr="00A10ABE">
        <w:rPr>
          <w:rFonts w:ascii="Calibri" w:hAnsi="Calibri" w:cs="Calibri"/>
          <w:b/>
          <w:sz w:val="20"/>
          <w:szCs w:val="20"/>
        </w:rPr>
        <w:t>Duration:</w:t>
      </w:r>
      <w:r w:rsidRPr="00A10ABE">
        <w:rPr>
          <w:rFonts w:ascii="Calibri" w:hAnsi="Calibri" w:cs="Calibri"/>
          <w:sz w:val="20"/>
          <w:szCs w:val="20"/>
        </w:rPr>
        <w:tab/>
      </w:r>
      <w:r w:rsidRPr="00A10ABE">
        <w:rPr>
          <w:rFonts w:ascii="Calibri" w:hAnsi="Calibri" w:cs="Calibri"/>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w:t>
      </w:r>
    </w:p>
    <w:p w14:paraId="7D3C13D8" w14:textId="77777777" w:rsidR="001E7131" w:rsidRPr="00A10ABE" w:rsidRDefault="001E7131" w:rsidP="001E7131">
      <w:pPr>
        <w:rPr>
          <w:rFonts w:ascii="Calibri" w:hAnsi="Calibri" w:cs="Calibri"/>
          <w:sz w:val="20"/>
          <w:szCs w:val="20"/>
        </w:rPr>
      </w:pPr>
      <w:r w:rsidRPr="00A10ABE">
        <w:rPr>
          <w:rFonts w:ascii="Calibri" w:hAnsi="Calibri" w:cs="Calibri"/>
          <w:b/>
          <w:sz w:val="20"/>
          <w:szCs w:val="20"/>
        </w:rPr>
        <w:t xml:space="preserve">Number of Position: </w:t>
      </w:r>
      <w:r w:rsidRPr="00A10ABE">
        <w:rPr>
          <w:rFonts w:ascii="Calibri" w:hAnsi="Calibri" w:cs="Calibri"/>
          <w:b/>
          <w:sz w:val="20"/>
          <w:szCs w:val="20"/>
        </w:rPr>
        <w:tab/>
      </w:r>
      <w:r w:rsidRPr="00A10ABE">
        <w:rPr>
          <w:rFonts w:ascii="Calibri" w:hAnsi="Calibri" w:cs="Calibri"/>
          <w:sz w:val="20"/>
          <w:szCs w:val="20"/>
        </w:rPr>
        <w:t>1 (one)</w:t>
      </w:r>
    </w:p>
    <w:p w14:paraId="04D2448D" w14:textId="77777777" w:rsidR="001E7131" w:rsidRPr="00A10ABE" w:rsidRDefault="001E7131" w:rsidP="001E7131">
      <w:pPr>
        <w:rPr>
          <w:rFonts w:ascii="Calibri" w:hAnsi="Calibri" w:cs="Calibri"/>
          <w:sz w:val="20"/>
          <w:szCs w:val="20"/>
        </w:rPr>
      </w:pPr>
      <w:r w:rsidRPr="00A10ABE">
        <w:rPr>
          <w:rFonts w:ascii="Calibri" w:hAnsi="Calibri" w:cs="Calibri"/>
          <w:b/>
          <w:sz w:val="20"/>
          <w:szCs w:val="20"/>
        </w:rPr>
        <w:t>Duty station:</w:t>
      </w:r>
      <w:r w:rsidRPr="00A10ABE">
        <w:rPr>
          <w:rFonts w:ascii="Calibri" w:hAnsi="Calibri" w:cs="Calibri"/>
          <w:sz w:val="20"/>
          <w:szCs w:val="20"/>
        </w:rPr>
        <w:tab/>
      </w:r>
      <w:r w:rsidRPr="00A10ABE">
        <w:rPr>
          <w:rFonts w:ascii="Calibri" w:hAnsi="Calibri" w:cs="Calibri"/>
          <w:sz w:val="20"/>
          <w:szCs w:val="20"/>
        </w:rPr>
        <w:tab/>
        <w:t xml:space="preserve">PCO, </w:t>
      </w:r>
      <w:proofErr w:type="spellStart"/>
      <w:r w:rsidRPr="00A10ABE">
        <w:rPr>
          <w:rFonts w:ascii="Calibri" w:hAnsi="Calibri" w:cs="Calibri"/>
          <w:sz w:val="20"/>
          <w:szCs w:val="20"/>
        </w:rPr>
        <w:t>Surkhet</w:t>
      </w:r>
      <w:proofErr w:type="spellEnd"/>
      <w:r w:rsidRPr="00A10ABE">
        <w:rPr>
          <w:rFonts w:ascii="Calibri" w:hAnsi="Calibri" w:cs="Calibri"/>
          <w:sz w:val="20"/>
          <w:szCs w:val="20"/>
        </w:rPr>
        <w:t xml:space="preserve"> with frequent visits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districts</w:t>
      </w:r>
    </w:p>
    <w:p w14:paraId="119C8B19" w14:textId="77777777" w:rsidR="001E7131" w:rsidRPr="00A10ABE" w:rsidRDefault="001E7131" w:rsidP="001E7131">
      <w:pPr>
        <w:rPr>
          <w:rFonts w:ascii="Calibri" w:hAnsi="Calibri" w:cs="Calibri"/>
          <w:sz w:val="20"/>
          <w:szCs w:val="20"/>
        </w:rPr>
      </w:pPr>
      <w:r w:rsidRPr="00A10ABE">
        <w:rPr>
          <w:rFonts w:ascii="Calibri" w:hAnsi="Calibri" w:cs="Calibri"/>
          <w:b/>
          <w:sz w:val="20"/>
          <w:szCs w:val="20"/>
        </w:rPr>
        <w:t>Report to:</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w:t>
      </w:r>
    </w:p>
    <w:p w14:paraId="3D910890" w14:textId="77777777" w:rsidR="001E7131" w:rsidRPr="00A10ABE" w:rsidRDefault="001E7131" w:rsidP="001E7131">
      <w:pPr>
        <w:ind w:left="2160" w:hanging="2160"/>
        <w:rPr>
          <w:rFonts w:ascii="Calibri" w:hAnsi="Calibri" w:cs="Calibri"/>
          <w:bCs/>
          <w:sz w:val="20"/>
          <w:szCs w:val="20"/>
        </w:rPr>
      </w:pPr>
      <w:r w:rsidRPr="00A10ABE">
        <w:rPr>
          <w:rFonts w:ascii="Calibri" w:hAnsi="Calibri" w:cs="Calibri"/>
          <w:b/>
          <w:sz w:val="20"/>
          <w:szCs w:val="20"/>
        </w:rPr>
        <w:t>Supervises to:</w:t>
      </w:r>
      <w:r w:rsidRPr="00A10ABE">
        <w:rPr>
          <w:rFonts w:ascii="Calibri" w:hAnsi="Calibri" w:cs="Calibri"/>
          <w:b/>
          <w:sz w:val="20"/>
          <w:szCs w:val="20"/>
        </w:rPr>
        <w:tab/>
      </w:r>
      <w:r w:rsidRPr="00A10ABE">
        <w:rPr>
          <w:rFonts w:ascii="Calibri" w:hAnsi="Calibri" w:cs="Calibri"/>
          <w:bCs/>
          <w:sz w:val="20"/>
          <w:szCs w:val="20"/>
        </w:rPr>
        <w:t>Hub/corridor-based Nutrition Officer</w:t>
      </w:r>
    </w:p>
    <w:p w14:paraId="000244EC" w14:textId="77777777" w:rsidR="001E7131" w:rsidRPr="00A10ABE" w:rsidRDefault="001E7131" w:rsidP="001E7131">
      <w:pPr>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based on satisfactory performance in the preceding contract assessed by the </w:t>
      </w:r>
      <w:proofErr w:type="spellStart"/>
      <w:r w:rsidRPr="00A10ABE">
        <w:rPr>
          <w:rFonts w:ascii="Calibri" w:hAnsi="Calibri" w:cs="Calibri"/>
          <w:sz w:val="20"/>
          <w:szCs w:val="20"/>
        </w:rPr>
        <w:t>Programme</w:t>
      </w:r>
      <w:proofErr w:type="spellEnd"/>
    </w:p>
    <w:p w14:paraId="721AC595" w14:textId="77777777" w:rsidR="001E7131" w:rsidRPr="00A10ABE" w:rsidRDefault="001E7131" w:rsidP="001E7131">
      <w:pPr>
        <w:spacing w:before="40" w:after="40"/>
        <w:rPr>
          <w:rFonts w:ascii="Calibri" w:hAnsi="Calibri" w:cs="Calibri"/>
          <w:sz w:val="20"/>
          <w:szCs w:val="20"/>
        </w:rPr>
      </w:pPr>
      <w:r w:rsidRPr="00A10ABE">
        <w:rPr>
          <w:rFonts w:ascii="Calibri" w:hAnsi="Calibri" w:cs="Calibri"/>
          <w:sz w:val="20"/>
          <w:szCs w:val="20"/>
        </w:rPr>
        <w:t>.</w:t>
      </w:r>
    </w:p>
    <w:p w14:paraId="081AD9A6" w14:textId="77777777" w:rsidR="001E7131" w:rsidRPr="00A10ABE" w:rsidRDefault="001E7131" w:rsidP="001E7131">
      <w:pPr>
        <w:spacing w:before="40" w:after="40"/>
        <w:rPr>
          <w:rFonts w:ascii="Calibri" w:hAnsi="Calibri" w:cs="Calibri"/>
          <w:b/>
          <w:sz w:val="20"/>
          <w:szCs w:val="20"/>
        </w:rPr>
      </w:pPr>
      <w:r w:rsidRPr="00A10ABE">
        <w:rPr>
          <w:rFonts w:ascii="Calibri" w:hAnsi="Calibri" w:cs="Calibri"/>
          <w:b/>
          <w:sz w:val="20"/>
          <w:szCs w:val="20"/>
        </w:rPr>
        <w:t xml:space="preserve">General scope of the position: </w:t>
      </w:r>
    </w:p>
    <w:p w14:paraId="091C6197" w14:textId="77777777" w:rsidR="001E7131" w:rsidRPr="00A10ABE" w:rsidRDefault="001E7131" w:rsidP="001E7131">
      <w:pPr>
        <w:spacing w:before="40" w:after="40"/>
        <w:jc w:val="both"/>
        <w:rPr>
          <w:rFonts w:ascii="Calibri" w:hAnsi="Calibri" w:cs="Calibri"/>
          <w:sz w:val="20"/>
          <w:szCs w:val="20"/>
        </w:rPr>
      </w:pPr>
      <w:r w:rsidRPr="00A10ABE">
        <w:rPr>
          <w:rFonts w:ascii="Calibri" w:hAnsi="Calibri" w:cs="Calibri"/>
          <w:sz w:val="20"/>
          <w:szCs w:val="20"/>
        </w:rPr>
        <w:t xml:space="preserve">The Nutrition Expert is responsible for providing technical assistance and support during designing, planning, implementation, monitoring, and evaluation including data analysis, progress reporting, knowledge networking and capacity building, in support of achievement of planned objectives of nutrition program and health service promotion activities within ASDP. S/he is also responsible for collecting, capturing, and communicating various tools /approach, IEC materials, best practices, lesson learned, and success stories for wider dissemination, in working closely with all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w:t>
      </w:r>
    </w:p>
    <w:p w14:paraId="20D89EBF" w14:textId="77777777" w:rsidR="001E7131" w:rsidRPr="00A10ABE" w:rsidRDefault="001E7131" w:rsidP="001E7131">
      <w:pPr>
        <w:spacing w:before="40" w:after="40"/>
        <w:jc w:val="both"/>
        <w:rPr>
          <w:rFonts w:ascii="Calibri" w:hAnsi="Calibri" w:cs="Calibri"/>
          <w:sz w:val="20"/>
          <w:szCs w:val="20"/>
        </w:rPr>
      </w:pPr>
    </w:p>
    <w:p w14:paraId="314EC467" w14:textId="77777777" w:rsidR="001E7131" w:rsidRPr="00A10ABE" w:rsidRDefault="001E7131" w:rsidP="001E7131">
      <w:pPr>
        <w:spacing w:before="40" w:after="40"/>
        <w:jc w:val="thaiDistribute"/>
        <w:rPr>
          <w:rFonts w:ascii="Calibri" w:hAnsi="Calibri" w:cs="Calibri"/>
          <w:b/>
          <w:bCs/>
          <w:sz w:val="20"/>
          <w:szCs w:val="20"/>
        </w:rPr>
      </w:pPr>
      <w:r w:rsidRPr="00A10ABE">
        <w:rPr>
          <w:rFonts w:ascii="Calibri" w:hAnsi="Calibri" w:cs="Calibri"/>
          <w:b/>
          <w:bCs/>
          <w:sz w:val="20"/>
          <w:szCs w:val="20"/>
        </w:rPr>
        <w:t>Main tasks and responsibilities:</w:t>
      </w:r>
    </w:p>
    <w:p w14:paraId="35D1740B"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Lead the development of the nutrition work plan and technical decisions as well as for administration, implementation and monitoring of sectoral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activities. </w:t>
      </w:r>
      <w:proofErr w:type="spellStart"/>
      <w:r w:rsidRPr="00A10ABE">
        <w:rPr>
          <w:rFonts w:ascii="Calibri" w:hAnsi="Calibri" w:cs="Calibri"/>
          <w:sz w:val="20"/>
          <w:szCs w:val="20"/>
        </w:rPr>
        <w:t>Analyse</w:t>
      </w:r>
      <w:proofErr w:type="spellEnd"/>
      <w:r w:rsidRPr="00A10ABE">
        <w:rPr>
          <w:rFonts w:ascii="Calibri" w:hAnsi="Calibri" w:cs="Calibri"/>
          <w:sz w:val="20"/>
          <w:szCs w:val="20"/>
        </w:rPr>
        <w:t xml:space="preserve"> data and information, and drafts progress reports; drafts changes in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work plans, as required; </w:t>
      </w:r>
    </w:p>
    <w:p w14:paraId="3F5D8E8E"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Provide timely implementation follow-up, including monitoring inputs, local conditions and resources and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status to build on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efficiency and effectiveness and monitor to ensure objectives and targets are timely met and achieved, through effective coordination and collaboration; </w:t>
      </w:r>
    </w:p>
    <w:p w14:paraId="0332BF26"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Ensure that monitoring systems are properly designed, conduct accurate and timely monitoring and data collection in consultation with all relevant stakeholders and </w:t>
      </w:r>
      <w:proofErr w:type="spellStart"/>
      <w:r w:rsidRPr="00A10ABE">
        <w:rPr>
          <w:rFonts w:ascii="Calibri" w:hAnsi="Calibri" w:cs="Calibri"/>
          <w:sz w:val="20"/>
          <w:szCs w:val="20"/>
        </w:rPr>
        <w:t>analyse</w:t>
      </w:r>
      <w:proofErr w:type="spellEnd"/>
      <w:r w:rsidRPr="00A10ABE">
        <w:rPr>
          <w:rFonts w:ascii="Calibri" w:hAnsi="Calibri" w:cs="Calibri"/>
          <w:sz w:val="20"/>
          <w:szCs w:val="20"/>
        </w:rPr>
        <w:t xml:space="preserve"> monitoring data, and recommends adjustment as appropriate to ensure achievement of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objectives;</w:t>
      </w:r>
    </w:p>
    <w:p w14:paraId="4CDBB4F3"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Coordinate with the government and other stakeholders in the implementation of the nutrition program and health service promotion activities.  Assists government counterparts in the planning and management of Health and Nutrition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especially for adolescent girls;  </w:t>
      </w:r>
    </w:p>
    <w:p w14:paraId="23B9A533"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Ensure proper communication, coordination and harmonization with the different stakeholders involved in nutrition and health service promotion activities;</w:t>
      </w:r>
    </w:p>
    <w:p w14:paraId="2403549E"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Lead in the planning and organizing training/development activities to upgrade the capacity of staff and partners;  </w:t>
      </w:r>
    </w:p>
    <w:p w14:paraId="2ED208FE"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Support delivery of a comprehensive package of nutrition services and health service promotion activities at districts with the Gender and Nutrition officers and Social Mobilisers;</w:t>
      </w:r>
    </w:p>
    <w:p w14:paraId="4AAFB8B6"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Exchange information and knowledge with other </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to contribute to achievement of overall country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objectives; </w:t>
      </w:r>
    </w:p>
    <w:p w14:paraId="524E000C"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Work closely with Hub/Corridor team during planning, implementation, monitoring and reporting of the Nutrition components; </w:t>
      </w:r>
    </w:p>
    <w:p w14:paraId="1564B5B6"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Share knowledge, information, experience and lessons learned to widen partnership with all stakeholder at national, state (province), municipal, community and household levels including the private sector in order to accelerate achievement of Nutrition related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goals; </w:t>
      </w:r>
    </w:p>
    <w:p w14:paraId="539BC96E"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lastRenderedPageBreak/>
        <w:t xml:space="preserve">Lead the process of developing communication strategy and action plan and support for its implementation in effective manner in close coordination with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and Management team;</w:t>
      </w:r>
    </w:p>
    <w:p w14:paraId="1A8B5149"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Undertake any other duties as directed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Manager.</w:t>
      </w:r>
    </w:p>
    <w:p w14:paraId="6DBA2C91" w14:textId="77777777" w:rsidR="001E7131" w:rsidRPr="00A10ABE" w:rsidRDefault="001E7131" w:rsidP="001E7131">
      <w:pPr>
        <w:spacing w:before="40" w:after="40"/>
        <w:rPr>
          <w:rFonts w:ascii="Calibri" w:hAnsi="Calibri" w:cs="Calibri"/>
          <w:b/>
          <w:bCs/>
          <w:sz w:val="20"/>
          <w:szCs w:val="20"/>
        </w:rPr>
      </w:pPr>
    </w:p>
    <w:p w14:paraId="1A4CA8B8" w14:textId="77777777" w:rsidR="001E7131" w:rsidRPr="00A10ABE" w:rsidRDefault="001E7131" w:rsidP="001E7131">
      <w:pPr>
        <w:spacing w:before="40" w:after="40"/>
        <w:rPr>
          <w:rFonts w:ascii="Calibri" w:hAnsi="Calibri" w:cs="Calibri"/>
          <w:b/>
          <w:bCs/>
          <w:sz w:val="20"/>
          <w:szCs w:val="20"/>
        </w:rPr>
      </w:pPr>
      <w:r w:rsidRPr="00A10ABE">
        <w:rPr>
          <w:rFonts w:ascii="Calibri" w:hAnsi="Calibri" w:cs="Calibri"/>
          <w:b/>
          <w:bCs/>
          <w:sz w:val="20"/>
          <w:szCs w:val="20"/>
        </w:rPr>
        <w:t>Qualification, Experience and Competency:</w:t>
      </w:r>
    </w:p>
    <w:p w14:paraId="09F16002"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Masters’ degree in Public Health, or Development studies, or Sociology, or Rural Development or equivalent with at least 5 years’ experience in development project/</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preferably on Health and Nutrition or community development;</w:t>
      </w:r>
    </w:p>
    <w:p w14:paraId="0BFCD2F2"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Work experience in planning, programming, implementation monitoring and dissemination;</w:t>
      </w:r>
    </w:p>
    <w:p w14:paraId="7D353373"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Experience on developing IEC materials, training curricula and imparting training to the staff members and the community leaders; </w:t>
      </w:r>
    </w:p>
    <w:p w14:paraId="7D03C30D"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Dissemination skills for wider communication coverage and policy influence; </w:t>
      </w:r>
    </w:p>
    <w:p w14:paraId="145EC8BB"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Strong analytical and problem-solving skills and is creative, innovative, persistent and resourceful; </w:t>
      </w:r>
    </w:p>
    <w:p w14:paraId="13475CEB"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Ability to work in a multi-disciplinary team and facilitate the working of other team members;</w:t>
      </w:r>
    </w:p>
    <w:p w14:paraId="33C45294"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Excellent communications skills - spoken and written, both in English and Nepali and possess good report writing skills;</w:t>
      </w:r>
    </w:p>
    <w:p w14:paraId="0DA0BBE1"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 xml:space="preserve">Good interpersonal skills and the ability to work effectively with a range of institutions including government, I/NGOs and private sector </w:t>
      </w:r>
    </w:p>
    <w:p w14:paraId="6A545E7C" w14:textId="77777777" w:rsidR="001E7131" w:rsidRPr="00A10ABE" w:rsidRDefault="001E7131" w:rsidP="001E7131">
      <w:pPr>
        <w:numPr>
          <w:ilvl w:val="0"/>
          <w:numId w:val="2"/>
        </w:numPr>
        <w:spacing w:before="40" w:after="40" w:line="264" w:lineRule="auto"/>
        <w:ind w:left="270" w:hanging="270"/>
        <w:jc w:val="both"/>
        <w:rPr>
          <w:rFonts w:ascii="Calibri" w:hAnsi="Calibri" w:cs="Calibri"/>
          <w:sz w:val="20"/>
          <w:szCs w:val="20"/>
        </w:rPr>
      </w:pPr>
      <w:r w:rsidRPr="00A10ABE">
        <w:rPr>
          <w:rFonts w:ascii="Calibri" w:hAnsi="Calibri" w:cs="Calibri"/>
          <w:sz w:val="20"/>
          <w:szCs w:val="20"/>
        </w:rPr>
        <w:t>Motivated, and capable of working under pressure</w:t>
      </w:r>
    </w:p>
    <w:p w14:paraId="41B99A48" w14:textId="77777777" w:rsidR="001E7131" w:rsidRPr="00A10ABE" w:rsidRDefault="001E7131" w:rsidP="001E7131">
      <w:pPr>
        <w:pStyle w:val="ListParagraph"/>
        <w:spacing w:before="40" w:after="40"/>
        <w:ind w:left="360"/>
        <w:contextualSpacing w:val="0"/>
        <w:rPr>
          <w:rFonts w:ascii="Calibri" w:hAnsi="Calibri" w:cs="Calibri"/>
          <w:sz w:val="20"/>
          <w:szCs w:val="20"/>
        </w:rPr>
      </w:pPr>
    </w:p>
    <w:p w14:paraId="086090D4" w14:textId="77777777" w:rsidR="001E7131" w:rsidRPr="00A10ABE" w:rsidRDefault="001E7131" w:rsidP="001E7131">
      <w:pPr>
        <w:spacing w:before="40" w:after="40"/>
        <w:rPr>
          <w:rFonts w:ascii="Calibri" w:hAnsi="Calibri" w:cs="Calibri"/>
          <w:b/>
          <w:sz w:val="20"/>
          <w:szCs w:val="20"/>
        </w:rPr>
      </w:pPr>
      <w:r w:rsidRPr="00A10ABE">
        <w:rPr>
          <w:rFonts w:ascii="Calibri" w:hAnsi="Calibri" w:cs="Calibri"/>
          <w:b/>
          <w:sz w:val="20"/>
          <w:szCs w:val="20"/>
        </w:rPr>
        <w:t>Preferences will be given to:</w:t>
      </w:r>
    </w:p>
    <w:p w14:paraId="7BA0D23B" w14:textId="77777777" w:rsidR="001E7131" w:rsidRPr="00A10ABE" w:rsidRDefault="001E7131" w:rsidP="001E7131">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Working experience and knowledge of social health and nutrition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t>
      </w:r>
    </w:p>
    <w:p w14:paraId="63AE0AA2" w14:textId="77777777" w:rsidR="001E7131" w:rsidRPr="00A10ABE" w:rsidRDefault="001E7131" w:rsidP="001E7131">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Understanding of the planning and reporting system and procedures of IFAD</w:t>
      </w:r>
    </w:p>
    <w:p w14:paraId="26DAC397" w14:textId="77777777" w:rsidR="001E7131" w:rsidRPr="00A10ABE" w:rsidRDefault="001E7131" w:rsidP="001E7131">
      <w:pPr>
        <w:spacing w:before="40" w:after="40" w:line="264" w:lineRule="auto"/>
        <w:rPr>
          <w:rFonts w:ascii="Calibri" w:hAnsi="Calibri" w:cs="Calibri"/>
          <w:sz w:val="20"/>
          <w:szCs w:val="20"/>
        </w:rPr>
      </w:pPr>
    </w:p>
    <w:p w14:paraId="318E506C" w14:textId="77777777" w:rsidR="001E7131" w:rsidRPr="00A10ABE" w:rsidRDefault="001E7131" w:rsidP="001E7131">
      <w:pPr>
        <w:tabs>
          <w:tab w:val="left" w:pos="270"/>
        </w:tabs>
        <w:spacing w:before="40" w:after="40"/>
        <w:rPr>
          <w:rFonts w:ascii="Calibri" w:hAnsi="Calibri" w:cs="Calibri"/>
          <w:b/>
          <w:sz w:val="20"/>
          <w:szCs w:val="20"/>
        </w:rPr>
      </w:pPr>
      <w:r w:rsidRPr="00A10ABE">
        <w:rPr>
          <w:rFonts w:ascii="Calibri" w:hAnsi="Calibri" w:cs="Calibri"/>
          <w:b/>
          <w:sz w:val="20"/>
          <w:szCs w:val="20"/>
        </w:rPr>
        <w:t xml:space="preserve">Benefits and Remuneration </w:t>
      </w:r>
    </w:p>
    <w:p w14:paraId="3BB00D89"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Salary and Benefits:</w:t>
      </w:r>
    </w:p>
    <w:p w14:paraId="6C04137D" w14:textId="77777777" w:rsidR="001E7131" w:rsidRPr="00A10ABE" w:rsidRDefault="001E7131" w:rsidP="001E7131">
      <w:pPr>
        <w:pStyle w:val="ListParagraph"/>
        <w:numPr>
          <w:ilvl w:val="0"/>
          <w:numId w:val="4"/>
        </w:numPr>
        <w:spacing w:before="40" w:after="40" w:line="264" w:lineRule="auto"/>
        <w:jc w:val="both"/>
        <w:rPr>
          <w:rFonts w:ascii="Calibri" w:hAnsi="Calibri" w:cs="Calibri"/>
          <w:sz w:val="20"/>
          <w:szCs w:val="20"/>
        </w:rPr>
      </w:pPr>
      <w:r w:rsidRPr="00A10ABE">
        <w:rPr>
          <w:rFonts w:ascii="Calibri" w:hAnsi="Calibri" w:cs="Calibri"/>
          <w:sz w:val="20"/>
          <w:szCs w:val="20"/>
        </w:rPr>
        <w:t>Per month remuneration (only for 12 months per year) will be between NPR. 140,000.00 – NPR. 160,000.00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Tax on the salary will be applicable as per the prevailing GON rules and regulation. </w:t>
      </w:r>
    </w:p>
    <w:p w14:paraId="736C90A0" w14:textId="77777777" w:rsidR="001E7131" w:rsidRPr="00A10ABE" w:rsidRDefault="001E7131" w:rsidP="001E7131">
      <w:pPr>
        <w:pStyle w:val="ListParagraph"/>
        <w:numPr>
          <w:ilvl w:val="0"/>
          <w:numId w:val="4"/>
        </w:numPr>
        <w:spacing w:before="40" w:after="40" w:line="264" w:lineRule="auto"/>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 officer while traveling out of the work station for official purpose. </w:t>
      </w:r>
    </w:p>
    <w:p w14:paraId="26F551D2"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Leave:</w:t>
      </w:r>
    </w:p>
    <w:p w14:paraId="2C50BD55" w14:textId="77777777" w:rsidR="001E7131" w:rsidRPr="00A10ABE" w:rsidRDefault="001E7131" w:rsidP="001E7131">
      <w:pPr>
        <w:pStyle w:val="bullets"/>
        <w:ind w:left="288" w:firstLine="0"/>
        <w:rPr>
          <w:rFonts w:ascii="Calibri" w:hAnsi="Calibri" w:cs="Calibri"/>
        </w:rPr>
      </w:pPr>
      <w:r w:rsidRPr="00A10ABE">
        <w:rPr>
          <w:rFonts w:ascii="Calibri" w:hAnsi="Calibri" w:cs="Calibri"/>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307C29C4"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Insurance:</w:t>
      </w:r>
    </w:p>
    <w:p w14:paraId="265B0D69" w14:textId="77777777" w:rsidR="001E7131" w:rsidRPr="00A10ABE" w:rsidRDefault="001E7131" w:rsidP="001E7131">
      <w:pPr>
        <w:pStyle w:val="bullets"/>
        <w:ind w:left="288" w:firstLine="0"/>
        <w:rPr>
          <w:rFonts w:ascii="Calibri" w:hAnsi="Calibri" w:cs="Calibri"/>
        </w:rPr>
      </w:pPr>
      <w:r w:rsidRPr="00A10ABE">
        <w:rPr>
          <w:rFonts w:ascii="Calibri" w:hAnsi="Calibri" w:cs="Calibri"/>
        </w:rPr>
        <w:t>The contracted experts/staff should have procured life insurance policy including accidental insurances. The programme will re-imburse 50 % of the monthly premium for the period the staff will be working in the programme, not exceeding Rs. 300 per month, upon submission of copy of insurance policy and receipts. Insurance will be a precondition to sign the contract with ASDP.</w:t>
      </w:r>
    </w:p>
    <w:p w14:paraId="0E1E3A62"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lastRenderedPageBreak/>
        <w:t>Age limit:</w:t>
      </w:r>
    </w:p>
    <w:p w14:paraId="38B26EC9" w14:textId="77777777" w:rsidR="001E7131" w:rsidRPr="00A10ABE" w:rsidRDefault="001E7131" w:rsidP="001E7131">
      <w:pPr>
        <w:pStyle w:val="bullets"/>
        <w:ind w:left="288" w:firstLine="0"/>
        <w:rPr>
          <w:rFonts w:ascii="Calibri" w:hAnsi="Calibri" w:cs="Calibri"/>
        </w:rPr>
      </w:pPr>
      <w:r w:rsidRPr="00A10ABE">
        <w:rPr>
          <w:rFonts w:ascii="Calibri" w:hAnsi="Calibri" w:cs="Calibri"/>
        </w:rPr>
        <w:t>The upper age limit for all the contracted positions at the last date of submission of application will be 55 years.</w:t>
      </w:r>
    </w:p>
    <w:p w14:paraId="3050DCCD"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 xml:space="preserve">Probation period: </w:t>
      </w:r>
    </w:p>
    <w:p w14:paraId="29337EC3" w14:textId="77777777" w:rsidR="001E7131" w:rsidRPr="00A10ABE" w:rsidRDefault="001E7131" w:rsidP="001E7131">
      <w:pPr>
        <w:pStyle w:val="bullets"/>
        <w:ind w:left="288" w:firstLine="0"/>
        <w:rPr>
          <w:rFonts w:ascii="Calibri" w:hAnsi="Calibri" w:cs="Calibri"/>
        </w:rPr>
      </w:pPr>
      <w:r w:rsidRPr="00A10ABE">
        <w:rPr>
          <w:rFonts w:ascii="Calibri" w:hAnsi="Calibri" w:cs="Calibri"/>
        </w:rPr>
        <w:t>The probation period of the contracted experts/staff will be of 6 months. The above-mentioned benefits, particularly the leave and re-imbursement of the insurance premium, will be effective only for those who have successfully completed the probation period.</w:t>
      </w:r>
    </w:p>
    <w:p w14:paraId="3792D3F6"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Reference Check:</w:t>
      </w:r>
    </w:p>
    <w:p w14:paraId="16DA4508" w14:textId="77777777" w:rsidR="001E7131" w:rsidRPr="00A10ABE" w:rsidRDefault="001E7131" w:rsidP="001E7131">
      <w:pPr>
        <w:pStyle w:val="bullets"/>
        <w:ind w:left="288" w:firstLine="0"/>
        <w:rPr>
          <w:rFonts w:ascii="Calibri" w:hAnsi="Calibri" w:cs="Calibri"/>
        </w:rPr>
      </w:pPr>
      <w:r w:rsidRPr="00A10ABE">
        <w:rPr>
          <w:rFonts w:ascii="Calibri" w:hAnsi="Calibri" w:cs="Calibri"/>
        </w:rPr>
        <w:t>ASDP will also check the references from the previous employer of the potential candidates, if required.</w:t>
      </w:r>
    </w:p>
    <w:p w14:paraId="4E971461"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Supervision of the contracted experts/staff and Administrative Control:</w:t>
      </w:r>
    </w:p>
    <w:p w14:paraId="14F5AA3A" w14:textId="77777777" w:rsidR="001E7131" w:rsidRPr="00A10ABE" w:rsidRDefault="001E7131" w:rsidP="001E7131">
      <w:pPr>
        <w:pStyle w:val="bullets"/>
        <w:ind w:left="270" w:firstLine="0"/>
        <w:rPr>
          <w:rFonts w:ascii="Calibri" w:hAnsi="Calibri" w:cs="Calibri"/>
        </w:rPr>
      </w:pPr>
      <w:r w:rsidRPr="00A10ABE">
        <w:rPr>
          <w:rFonts w:ascii="Calibri" w:hAnsi="Calibri" w:cs="Calibri"/>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2F903682" w14:textId="77777777" w:rsidR="001E7131" w:rsidRPr="00A10ABE" w:rsidRDefault="001E7131" w:rsidP="001E7131">
      <w:pPr>
        <w:tabs>
          <w:tab w:val="left" w:pos="270"/>
        </w:tabs>
        <w:spacing w:before="40" w:after="40"/>
        <w:rPr>
          <w:rFonts w:ascii="Calibri" w:hAnsi="Calibri" w:cs="Calibri"/>
          <w:b/>
          <w:i/>
          <w:sz w:val="20"/>
          <w:szCs w:val="20"/>
        </w:rPr>
      </w:pPr>
      <w:r w:rsidRPr="00A10ABE">
        <w:rPr>
          <w:rFonts w:ascii="Calibri" w:hAnsi="Calibri" w:cs="Calibri"/>
          <w:b/>
          <w:i/>
          <w:sz w:val="20"/>
          <w:szCs w:val="20"/>
        </w:rPr>
        <w:t>Performance Assessment and Renewal of Contracts:</w:t>
      </w:r>
    </w:p>
    <w:p w14:paraId="4A87DEFC" w14:textId="77777777" w:rsidR="001E7131" w:rsidRPr="00A10ABE" w:rsidRDefault="001E7131" w:rsidP="001E7131">
      <w:pPr>
        <w:pStyle w:val="bullets"/>
        <w:numPr>
          <w:ilvl w:val="0"/>
          <w:numId w:val="5"/>
        </w:numPr>
        <w:ind w:left="630" w:hanging="270"/>
        <w:rPr>
          <w:rFonts w:ascii="Calibri" w:hAnsi="Calibri" w:cs="Calibri"/>
        </w:rPr>
      </w:pPr>
      <w:r w:rsidRPr="00A10ABE">
        <w:rPr>
          <w:rFonts w:ascii="Calibri" w:hAnsi="Calibri" w:cs="Calibri"/>
        </w:rPr>
        <w:t xml:space="preserve">The performance assessment of the position will be based on the quality and timely completion of the tasks assigned as per </w:t>
      </w:r>
      <w:proofErr w:type="spellStart"/>
      <w:r w:rsidRPr="00A10ABE">
        <w:rPr>
          <w:rFonts w:ascii="Calibri" w:hAnsi="Calibri" w:cs="Calibri"/>
        </w:rPr>
        <w:t>ToR</w:t>
      </w:r>
      <w:proofErr w:type="spellEnd"/>
      <w:r w:rsidRPr="00A10ABE">
        <w:rPr>
          <w:rFonts w:ascii="Calibri" w:hAnsi="Calibri" w:cs="Calibri"/>
        </w:rPr>
        <w:t>. Details on the indicators for performance assessment will be based on the activities performed during the contract period with the ASDP. The ASDP reserves the right to terminate the contract if the performance is assessed as unsatisfactory.</w:t>
      </w:r>
    </w:p>
    <w:p w14:paraId="59824781" w14:textId="77777777" w:rsidR="001E7131" w:rsidRPr="00A10ABE" w:rsidRDefault="001E7131" w:rsidP="001E7131">
      <w:pPr>
        <w:pStyle w:val="ListParagraph"/>
        <w:numPr>
          <w:ilvl w:val="0"/>
          <w:numId w:val="5"/>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75FE1785" w14:textId="77777777" w:rsidR="001E7131" w:rsidRPr="00A10ABE" w:rsidRDefault="001E7131" w:rsidP="001E7131">
      <w:pPr>
        <w:pStyle w:val="bullets"/>
        <w:numPr>
          <w:ilvl w:val="0"/>
          <w:numId w:val="5"/>
        </w:numPr>
        <w:ind w:left="630" w:hanging="270"/>
        <w:rPr>
          <w:rFonts w:ascii="Calibri" w:hAnsi="Calibri" w:cs="Calibri"/>
        </w:rPr>
      </w:pPr>
      <w:r w:rsidRPr="00A10ABE">
        <w:rPr>
          <w:rFonts w:ascii="Calibri" w:hAnsi="Calibri" w:cs="Calibri"/>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2FD94C98" w14:textId="77777777" w:rsidR="001E7131" w:rsidRPr="00A10ABE" w:rsidRDefault="001E7131" w:rsidP="001E7131">
      <w:pPr>
        <w:pStyle w:val="bullets"/>
        <w:numPr>
          <w:ilvl w:val="0"/>
          <w:numId w:val="5"/>
        </w:numPr>
        <w:ind w:left="630" w:hanging="270"/>
        <w:rPr>
          <w:rFonts w:ascii="Calibri" w:hAnsi="Calibri" w:cs="Calibri"/>
        </w:rPr>
      </w:pPr>
      <w:r w:rsidRPr="00A10ABE">
        <w:rPr>
          <w:rFonts w:ascii="Calibri" w:hAnsi="Calibri" w:cs="Calibri"/>
        </w:rPr>
        <w:t>The contracted expert has to inform to the PCO/ASDP at least 3 months before the date he/she wants to leave the program. If not informed, his/her salary of one month will be deducted</w:t>
      </w:r>
    </w:p>
    <w:p w14:paraId="3E5C1FB0" w14:textId="77777777" w:rsidR="001E7131" w:rsidRPr="00A10ABE" w:rsidRDefault="001E7131" w:rsidP="001E7131">
      <w:pPr>
        <w:pStyle w:val="ListParagraph"/>
        <w:spacing w:before="40" w:after="40" w:line="264" w:lineRule="auto"/>
        <w:ind w:left="360"/>
        <w:rPr>
          <w:rFonts w:ascii="Calibri" w:hAnsi="Calibri" w:cs="Calibri"/>
          <w:sz w:val="20"/>
          <w:szCs w:val="20"/>
        </w:rPr>
      </w:pPr>
    </w:p>
    <w:p w14:paraId="11F08C38" w14:textId="77777777" w:rsidR="001E7131" w:rsidRDefault="001E7131" w:rsidP="001E7131">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543FF458" w14:textId="77777777" w:rsidR="001E7131" w:rsidRDefault="001E7131" w:rsidP="001E7131">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348DB00F" w14:textId="77777777" w:rsidR="001E7131" w:rsidRDefault="001E7131" w:rsidP="001E713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3AA7EBFE" w14:textId="77777777" w:rsidR="001E7131" w:rsidRDefault="001E7131" w:rsidP="001E713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5715401F" w14:textId="77777777" w:rsidR="001E7131" w:rsidRDefault="001E7131" w:rsidP="001E713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6549BEB9" w14:textId="77777777" w:rsidR="001E7131" w:rsidRDefault="001E7131" w:rsidP="001E713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2F4009C0" w14:textId="73539FF2" w:rsidR="007C7C12" w:rsidRDefault="007C7C12" w:rsidP="001E7131"/>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DAD1F" w14:textId="77777777" w:rsidR="00A776E2" w:rsidRDefault="00A776E2" w:rsidP="001E7131">
      <w:r>
        <w:separator/>
      </w:r>
    </w:p>
  </w:endnote>
  <w:endnote w:type="continuationSeparator" w:id="0">
    <w:p w14:paraId="19B1BFBB" w14:textId="77777777" w:rsidR="00A776E2" w:rsidRDefault="00A776E2" w:rsidP="001E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15FF" w14:textId="77777777" w:rsidR="00A776E2" w:rsidRDefault="00A776E2" w:rsidP="001E7131">
      <w:r>
        <w:separator/>
      </w:r>
    </w:p>
  </w:footnote>
  <w:footnote w:type="continuationSeparator" w:id="0">
    <w:p w14:paraId="6C23C964" w14:textId="77777777" w:rsidR="00A776E2" w:rsidRDefault="00A776E2" w:rsidP="001E7131">
      <w:r>
        <w:continuationSeparator/>
      </w:r>
    </w:p>
  </w:footnote>
  <w:footnote w:id="1">
    <w:p w14:paraId="62B36B82" w14:textId="77777777" w:rsidR="001E7131" w:rsidRPr="006446F9" w:rsidRDefault="001E7131" w:rsidP="001E7131">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399"/>
    <w:multiLevelType w:val="hybridMultilevel"/>
    <w:tmpl w:val="0D32AE1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B7B4F"/>
    <w:multiLevelType w:val="hybridMultilevel"/>
    <w:tmpl w:val="A57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5"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1"/>
    <w:rsid w:val="001E7131"/>
    <w:rsid w:val="007C7C12"/>
    <w:rsid w:val="009B11F0"/>
    <w:rsid w:val="00A7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669A"/>
  <w15:chartTrackingRefBased/>
  <w15:docId w15:val="{247E54F4-2D61-4F69-934D-7366AF79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7131"/>
    <w:pPr>
      <w:keepNext/>
      <w:keepLines/>
      <w:spacing w:before="240" w:after="240"/>
      <w:jc w:val="center"/>
      <w:outlineLvl w:val="0"/>
    </w:pPr>
    <w:rPr>
      <w:rFonts w:ascii="Cambria" w:hAnsi="Cambria" w:cs="Mangal"/>
      <w:b/>
      <w:bCs/>
      <w:kern w:val="32"/>
      <w:sz w:val="32"/>
      <w:szCs w:val="32"/>
      <w:lang w:val="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131"/>
    <w:rPr>
      <w:rFonts w:ascii="Cambria" w:eastAsia="Times New Roman" w:hAnsi="Cambria" w:cs="Mangal"/>
      <w:b/>
      <w:bCs/>
      <w:kern w:val="32"/>
      <w:sz w:val="32"/>
      <w:szCs w:val="32"/>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1E7131"/>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1E7131"/>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1E7131"/>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1E7131"/>
    <w:pPr>
      <w:ind w:left="720"/>
      <w:contextualSpacing/>
    </w:pPr>
  </w:style>
  <w:style w:type="paragraph" w:customStyle="1" w:styleId="bullets">
    <w:name w:val="bullets"/>
    <w:link w:val="bulletsChar"/>
    <w:rsid w:val="001E7131"/>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1E7131"/>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1E7131"/>
    <w:rPr>
      <w:rFonts w:ascii="Times New Roman" w:eastAsia="Times New Roman" w:hAnsi="Times New Roman" w:cs="Times New Roman"/>
      <w:sz w:val="24"/>
      <w:szCs w:val="24"/>
    </w:rPr>
  </w:style>
  <w:style w:type="character" w:customStyle="1" w:styleId="bulletsChar">
    <w:name w:val="bullets Char"/>
    <w:link w:val="bullets"/>
    <w:rsid w:val="001E7131"/>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2021-02-28T15:55:00Z</dcterms:created>
  <dcterms:modified xsi:type="dcterms:W3CDTF">2021-02-28T15:56:00Z</dcterms:modified>
</cp:coreProperties>
</file>